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DD" w:rsidRPr="006F43DD" w:rsidRDefault="006F43DD" w:rsidP="006F43DD">
      <w:pPr>
        <w:keepNext/>
        <w:snapToGrid w:val="0"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noProof/>
          <w:snapToGrid w:val="0"/>
          <w:color w:val="0D0D0D"/>
          <w:kern w:val="28"/>
          <w:sz w:val="28"/>
          <w:szCs w:val="28"/>
        </w:rPr>
      </w:pPr>
      <w:r w:rsidRPr="006F43DD">
        <w:rPr>
          <w:rFonts w:ascii="Calibri" w:eastAsia="Times New Roman" w:hAnsi="Calibri" w:cs="Calibri"/>
          <w:b/>
          <w:noProof/>
          <w:snapToGrid w:val="0"/>
          <w:color w:val="0D0D0D"/>
          <w:kern w:val="28"/>
          <w:sz w:val="28"/>
          <w:szCs w:val="28"/>
        </w:rPr>
        <w:t>INDIKATIVNI KALENDAR NATJEČAJNOG POSTUPKA</w:t>
      </w:r>
    </w:p>
    <w:p w:rsidR="006F43DD" w:rsidRPr="006F43DD" w:rsidRDefault="006F43DD" w:rsidP="006F43DD">
      <w:pPr>
        <w:keepNext/>
        <w:spacing w:before="240" w:after="60" w:line="240" w:lineRule="auto"/>
        <w:jc w:val="both"/>
        <w:outlineLvl w:val="0"/>
        <w:rPr>
          <w:rFonts w:ascii="Calibri" w:eastAsia="Times New Roman" w:hAnsi="Calibri" w:cs="Calibri"/>
          <w:b/>
          <w:noProof/>
          <w:snapToGrid w:val="0"/>
          <w:color w:val="0D0D0D"/>
          <w:kern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6F43DD" w:rsidRPr="006F43DD" w:rsidTr="00EC2D1E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6F43DD" w:rsidRPr="006F43DD" w:rsidRDefault="006F43DD" w:rsidP="006F43DD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6F43DD" w:rsidRPr="006F43DD" w:rsidRDefault="006F43DD" w:rsidP="006F43DD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Datum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Objava natječaja</w:t>
            </w:r>
          </w:p>
        </w:tc>
        <w:tc>
          <w:tcPr>
            <w:tcW w:w="1984" w:type="dxa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noProof/>
                <w:color w:val="0D0D0D"/>
              </w:rPr>
              <w:t>10.10.2019.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Rok za slanje prijava</w:t>
            </w:r>
          </w:p>
        </w:tc>
        <w:tc>
          <w:tcPr>
            <w:tcW w:w="1984" w:type="dxa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noProof/>
                <w:color w:val="0D0D0D"/>
              </w:rPr>
              <w:t>11.11.2019.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Rok za slanje pitanja vezanih uz natječaj</w:t>
            </w:r>
          </w:p>
        </w:tc>
        <w:tc>
          <w:tcPr>
            <w:tcW w:w="1984" w:type="dxa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noProof/>
                <w:color w:val="0D0D0D"/>
              </w:rPr>
              <w:t>25.10.2019.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 xml:space="preserve">Rok za upućivanje odgovora na pitanja vezana uz natječaj </w:t>
            </w:r>
          </w:p>
        </w:tc>
        <w:tc>
          <w:tcPr>
            <w:tcW w:w="1984" w:type="dxa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noProof/>
                <w:color w:val="0D0D0D"/>
              </w:rPr>
              <w:t>4.11.2019.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Rok za provjeru propisanih uvjeta natječaja</w:t>
            </w:r>
          </w:p>
        </w:tc>
        <w:tc>
          <w:tcPr>
            <w:tcW w:w="1984" w:type="dxa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noProof/>
                <w:color w:val="0D0D0D"/>
              </w:rPr>
              <w:t>studeni 2019.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Rok za slanje obavijesti o zadovoljavanju propisanih uvjeta natječaja</w:t>
            </w:r>
          </w:p>
        </w:tc>
        <w:tc>
          <w:tcPr>
            <w:tcW w:w="1984" w:type="dxa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noProof/>
                <w:color w:val="0D0D0D"/>
              </w:rPr>
              <w:t>studeni 2019.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noProof/>
                <w:color w:val="0D0D0D"/>
              </w:rPr>
              <w:t>studeni 2019.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Rok za upit za dostavom dodatne dokumentacije</w:t>
            </w:r>
          </w:p>
        </w:tc>
        <w:tc>
          <w:tcPr>
            <w:tcW w:w="1984" w:type="dxa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noProof/>
                <w:color w:val="0D0D0D"/>
              </w:rPr>
              <w:t>studeni 2019.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Rok za dostavu tražene dokumentacije</w:t>
            </w:r>
          </w:p>
        </w:tc>
        <w:tc>
          <w:tcPr>
            <w:tcW w:w="1984" w:type="dxa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>
              <w:rPr>
                <w:rFonts w:ascii="Calibri" w:eastAsia="Times New Roman" w:hAnsi="Calibri" w:cs="Calibri"/>
                <w:noProof/>
                <w:color w:val="0D0D0D"/>
              </w:rPr>
              <w:t>prosinac 2019./siječanj 2020.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</w:tcPr>
          <w:p w:rsidR="006F43DD" w:rsidRPr="006F43DD" w:rsidRDefault="0082108B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>
              <w:rPr>
                <w:rFonts w:ascii="Calibri" w:eastAsia="Times New Roman" w:hAnsi="Calibri" w:cs="Calibri"/>
                <w:noProof/>
                <w:color w:val="0D0D0D"/>
              </w:rPr>
              <w:t>ožujak</w:t>
            </w:r>
            <w:r w:rsidR="006F43DD">
              <w:rPr>
                <w:rFonts w:ascii="Calibri" w:eastAsia="Times New Roman" w:hAnsi="Calibri" w:cs="Calibri"/>
                <w:noProof/>
                <w:color w:val="0D0D0D"/>
              </w:rPr>
              <w:t xml:space="preserve"> 2020.</w:t>
            </w:r>
          </w:p>
        </w:tc>
      </w:tr>
      <w:tr w:rsidR="006F43DD" w:rsidRPr="006F43DD" w:rsidTr="00EC2D1E">
        <w:tc>
          <w:tcPr>
            <w:tcW w:w="7655" w:type="dxa"/>
            <w:shd w:val="clear" w:color="auto" w:fill="D9D9D9"/>
          </w:tcPr>
          <w:p w:rsidR="006F43DD" w:rsidRPr="006F43DD" w:rsidRDefault="006F43DD" w:rsidP="006F43DD">
            <w:pPr>
              <w:snapToGrid w:val="0"/>
              <w:spacing w:before="120" w:after="120" w:line="240" w:lineRule="auto"/>
              <w:rPr>
                <w:rFonts w:ascii="Calibri" w:eastAsia="Times New Roman" w:hAnsi="Calibri" w:cs="Calibri"/>
                <w:b/>
                <w:noProof/>
                <w:color w:val="0D0D0D"/>
              </w:rPr>
            </w:pPr>
            <w:r w:rsidRPr="006F43DD">
              <w:rPr>
                <w:rFonts w:ascii="Calibri" w:eastAsia="Times New Roman" w:hAnsi="Calibri" w:cs="Calibri"/>
                <w:b/>
                <w:noProof/>
                <w:color w:val="0D0D0D"/>
              </w:rPr>
              <w:t>Rok za ugovaranje</w:t>
            </w:r>
          </w:p>
        </w:tc>
        <w:tc>
          <w:tcPr>
            <w:tcW w:w="1984" w:type="dxa"/>
          </w:tcPr>
          <w:p w:rsidR="006F43DD" w:rsidRPr="006F43DD" w:rsidRDefault="0082108B" w:rsidP="006F43DD">
            <w:pPr>
              <w:snapToGrid w:val="0"/>
              <w:spacing w:before="120" w:after="120" w:line="240" w:lineRule="auto"/>
              <w:jc w:val="center"/>
              <w:rPr>
                <w:rFonts w:ascii="Calibri" w:eastAsia="Times New Roman" w:hAnsi="Calibri" w:cs="Calibri"/>
                <w:noProof/>
                <w:color w:val="0D0D0D"/>
              </w:rPr>
            </w:pPr>
            <w:r>
              <w:rPr>
                <w:rFonts w:ascii="Calibri" w:eastAsia="Times New Roman" w:hAnsi="Calibri" w:cs="Calibri"/>
                <w:noProof/>
                <w:color w:val="0D0D0D"/>
              </w:rPr>
              <w:t>ožujak</w:t>
            </w:r>
            <w:bookmarkStart w:id="0" w:name="_GoBack"/>
            <w:bookmarkEnd w:id="0"/>
            <w:r w:rsidR="006F43DD">
              <w:rPr>
                <w:rFonts w:ascii="Calibri" w:eastAsia="Times New Roman" w:hAnsi="Calibri" w:cs="Calibri"/>
                <w:noProof/>
                <w:color w:val="0D0D0D"/>
              </w:rPr>
              <w:t xml:space="preserve"> 2020.</w:t>
            </w:r>
          </w:p>
        </w:tc>
      </w:tr>
    </w:tbl>
    <w:p w:rsidR="006F43DD" w:rsidRPr="006F43DD" w:rsidRDefault="006F43DD" w:rsidP="006F43DD">
      <w:pPr>
        <w:snapToGrid w:val="0"/>
        <w:spacing w:after="240" w:line="240" w:lineRule="auto"/>
        <w:rPr>
          <w:rFonts w:ascii="Calibri" w:eastAsia="Times New Roman" w:hAnsi="Calibri" w:cs="Calibri"/>
          <w:noProof/>
          <w:color w:val="0D0D0D"/>
        </w:rPr>
      </w:pPr>
    </w:p>
    <w:p w:rsidR="006F43DD" w:rsidRPr="006F43DD" w:rsidRDefault="006F43DD" w:rsidP="006F43DD">
      <w:pPr>
        <w:snapToGrid w:val="0"/>
        <w:spacing w:after="240" w:line="240" w:lineRule="auto"/>
        <w:jc w:val="both"/>
        <w:rPr>
          <w:rFonts w:ascii="Calibri" w:eastAsia="Times New Roman" w:hAnsi="Calibri" w:cs="Calibri"/>
          <w:noProof/>
          <w:color w:val="0D0D0D"/>
        </w:rPr>
      </w:pPr>
      <w:r w:rsidRPr="006F43DD">
        <w:rPr>
          <w:rFonts w:ascii="Calibri" w:eastAsia="Times New Roman" w:hAnsi="Calibri" w:cs="Calibri"/>
          <w:noProof/>
          <w:color w:val="0D0D0D"/>
        </w:rPr>
        <w:t xml:space="preserve">Davatelj financijskih sredstava ima mogućnost ažuriranja ovog indikativnog kalendara. Obavijest o tome, kao i ažurirana tablica, objavit će se na sljedećoj web stranici: </w:t>
      </w:r>
      <w:hyperlink r:id="rId6" w:history="1">
        <w:r w:rsidRPr="006F43DD">
          <w:rPr>
            <w:rFonts w:ascii="Calibri" w:eastAsia="Times New Roman" w:hAnsi="Calibri" w:cs="Calibri"/>
            <w:noProof/>
            <w:color w:val="0D0D0D"/>
            <w:u w:val="single"/>
          </w:rPr>
          <w:t>http://eufondovi.mup.hr/</w:t>
        </w:r>
      </w:hyperlink>
      <w:r w:rsidRPr="006F43DD">
        <w:rPr>
          <w:rFonts w:ascii="Calibri" w:eastAsia="Times New Roman" w:hAnsi="Calibri" w:cs="Calibri"/>
          <w:noProof/>
          <w:color w:val="0D0D0D"/>
        </w:rPr>
        <w:t>.</w:t>
      </w: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6F43DD" w:rsidRPr="006F43DD" w:rsidRDefault="006F43DD" w:rsidP="006F43DD">
      <w:pPr>
        <w:snapToGrid w:val="0"/>
        <w:spacing w:after="0" w:line="240" w:lineRule="auto"/>
        <w:rPr>
          <w:rFonts w:ascii="Calibri" w:eastAsia="Times New Roman" w:hAnsi="Calibri" w:cs="Calibri"/>
          <w:color w:val="0D0D0D"/>
        </w:rPr>
      </w:pPr>
    </w:p>
    <w:p w:rsidR="00261B32" w:rsidRDefault="006F43DD" w:rsidP="006F43DD">
      <w:r w:rsidRPr="006F43DD">
        <w:rPr>
          <w:rFonts w:ascii="Calibri" w:eastAsia="Times New Roman" w:hAnsi="Calibri" w:cs="Calibri"/>
          <w:color w:val="0D0D0D"/>
        </w:rPr>
        <w:br w:type="page"/>
      </w:r>
    </w:p>
    <w:sectPr w:rsidR="00261B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36" w:rsidRDefault="008F0836" w:rsidP="006F43DD">
      <w:pPr>
        <w:spacing w:after="0" w:line="240" w:lineRule="auto"/>
      </w:pPr>
      <w:r>
        <w:separator/>
      </w:r>
    </w:p>
  </w:endnote>
  <w:endnote w:type="continuationSeparator" w:id="0">
    <w:p w:rsidR="008F0836" w:rsidRDefault="008F0836" w:rsidP="006F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36" w:rsidRDefault="008F0836" w:rsidP="006F43DD">
      <w:pPr>
        <w:spacing w:after="0" w:line="240" w:lineRule="auto"/>
      </w:pPr>
      <w:r>
        <w:separator/>
      </w:r>
    </w:p>
  </w:footnote>
  <w:footnote w:type="continuationSeparator" w:id="0">
    <w:p w:rsidR="008F0836" w:rsidRDefault="008F0836" w:rsidP="006F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DD" w:rsidRPr="006F43DD" w:rsidRDefault="006F43DD" w:rsidP="006F43DD">
    <w:pPr>
      <w:tabs>
        <w:tab w:val="left" w:pos="142"/>
        <w:tab w:val="center" w:pos="4153"/>
        <w:tab w:val="right" w:pos="9356"/>
        <w:tab w:val="right" w:pos="9638"/>
      </w:tabs>
      <w:snapToGrid w:val="0"/>
      <w:spacing w:after="0" w:line="240" w:lineRule="auto"/>
      <w:rPr>
        <w:rFonts w:ascii="Calibri" w:eastAsia="Times New Roman" w:hAnsi="Calibri" w:cs="Times New Roman"/>
        <w:sz w:val="10"/>
        <w:szCs w:val="10"/>
      </w:rPr>
    </w:pPr>
    <w:r w:rsidRPr="006F43DD">
      <w:rPr>
        <w:rFonts w:ascii="Calibri" w:eastAsia="Times New Roman" w:hAnsi="Calibri" w:cs="Arial"/>
        <w:b/>
        <w:noProof/>
        <w:lang w:eastAsia="hr-HR"/>
      </w:rPr>
      <w:t xml:space="preserve">    </w:t>
    </w:r>
    <w:r w:rsidRPr="006F43DD">
      <w:rPr>
        <w:rFonts w:ascii="Calibri" w:eastAsia="Times New Roman" w:hAnsi="Calibri" w:cs="Arial"/>
        <w:noProof/>
        <w:snapToGrid w:val="0"/>
        <w:lang w:eastAsia="ko-KR"/>
      </w:rPr>
      <w:drawing>
        <wp:inline distT="0" distB="0" distL="0" distR="0">
          <wp:extent cx="514350" cy="685800"/>
          <wp:effectExtent l="0" t="0" r="0" b="0"/>
          <wp:docPr id="2" name="Slika 2" descr="GR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B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43DD">
      <w:rPr>
        <w:rFonts w:ascii="Calibri" w:eastAsia="Times New Roman" w:hAnsi="Calibri" w:cs="Arial"/>
        <w:b/>
        <w:noProof/>
        <w:lang w:eastAsia="hr-HR"/>
      </w:rPr>
      <w:tab/>
      <w:t xml:space="preserve"> </w:t>
    </w:r>
    <w:r w:rsidRPr="006F43DD">
      <w:rPr>
        <w:rFonts w:ascii="Calibri" w:eastAsia="Times New Roman" w:hAnsi="Calibri" w:cs="Arial"/>
        <w:b/>
        <w:noProof/>
        <w:lang w:eastAsia="hr-HR"/>
      </w:rPr>
      <w:tab/>
      <w:t xml:space="preserve">                   </w:t>
    </w:r>
    <w:r w:rsidRPr="006F43DD">
      <w:rPr>
        <w:rFonts w:ascii="Calibri" w:eastAsia="Times New Roman" w:hAnsi="Calibri" w:cs="Arial"/>
        <w:b/>
        <w:noProof/>
        <w:lang w:eastAsia="ko-KR"/>
      </w:rPr>
      <w:drawing>
        <wp:inline distT="0" distB="0" distL="0" distR="0">
          <wp:extent cx="762000" cy="5238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3DD" w:rsidRDefault="006F43D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DD"/>
    <w:rsid w:val="00261B32"/>
    <w:rsid w:val="00577EF2"/>
    <w:rsid w:val="005A2F97"/>
    <w:rsid w:val="006F43DD"/>
    <w:rsid w:val="0082108B"/>
    <w:rsid w:val="00855102"/>
    <w:rsid w:val="008F0836"/>
    <w:rsid w:val="00CC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E16D"/>
  <w15:chartTrackingRefBased/>
  <w15:docId w15:val="{6C79AC7C-93E5-42C1-B57C-E95B93B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43DD"/>
  </w:style>
  <w:style w:type="paragraph" w:styleId="Podnoje">
    <w:name w:val="footer"/>
    <w:basedOn w:val="Normal"/>
    <w:link w:val="PodnojeChar"/>
    <w:uiPriority w:val="99"/>
    <w:unhideWhenUsed/>
    <w:rsid w:val="006F4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4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fondovi.mup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Kobeščak Glavan Martina</dc:creator>
  <cp:keywords/>
  <dc:description/>
  <cp:lastModifiedBy>Petra Pećnik</cp:lastModifiedBy>
  <cp:revision>3</cp:revision>
  <dcterms:created xsi:type="dcterms:W3CDTF">2020-02-12T11:51:00Z</dcterms:created>
  <dcterms:modified xsi:type="dcterms:W3CDTF">2020-02-28T08:19:00Z</dcterms:modified>
</cp:coreProperties>
</file>